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8" w:type="dxa"/>
        <w:jc w:val="center"/>
        <w:tblInd w:w="669" w:type="dxa"/>
        <w:tblLayout w:type="fixed"/>
        <w:tblLook w:val="0000" w:firstRow="0" w:lastRow="0" w:firstColumn="0" w:lastColumn="0" w:noHBand="0" w:noVBand="0"/>
      </w:tblPr>
      <w:tblGrid>
        <w:gridCol w:w="3166"/>
        <w:gridCol w:w="5792"/>
      </w:tblGrid>
      <w:tr w:rsidR="003F3AE8" w:rsidRPr="007476EB" w:rsidTr="00D85272">
        <w:tblPrEx>
          <w:tblCellMar>
            <w:top w:w="0" w:type="dxa"/>
            <w:bottom w:w="0" w:type="dxa"/>
          </w:tblCellMar>
        </w:tblPrEx>
        <w:trPr>
          <w:trHeight w:val="1258"/>
          <w:jc w:val="center"/>
        </w:trPr>
        <w:tc>
          <w:tcPr>
            <w:tcW w:w="3166" w:type="dxa"/>
          </w:tcPr>
          <w:p w:rsidR="003F3AE8" w:rsidRPr="007476EB" w:rsidRDefault="003F3AE8" w:rsidP="00D85272">
            <w:pPr>
              <w:tabs>
                <w:tab w:val="left" w:pos="7088"/>
              </w:tabs>
              <w:jc w:val="center"/>
              <w:rPr>
                <w:b/>
                <w:bCs/>
                <w:sz w:val="26"/>
              </w:rPr>
            </w:pPr>
            <w:r w:rsidRPr="007476EB">
              <w:rPr>
                <w:b/>
                <w:bCs/>
                <w:sz w:val="26"/>
              </w:rPr>
              <w:t>HỘI ĐỒNG NHÂN DÂN</w:t>
            </w:r>
          </w:p>
          <w:p w:rsidR="003F3AE8" w:rsidRDefault="003F3AE8" w:rsidP="00D85272">
            <w:pPr>
              <w:tabs>
                <w:tab w:val="left" w:pos="7088"/>
              </w:tabs>
              <w:jc w:val="center"/>
              <w:rPr>
                <w:b/>
                <w:bCs/>
                <w:sz w:val="26"/>
              </w:rPr>
            </w:pPr>
            <w:r w:rsidRPr="007476EB">
              <w:rPr>
                <w:b/>
                <w:bCs/>
                <w:sz w:val="26"/>
              </w:rPr>
              <w:t>TỈNH HƯNG YÊN</w:t>
            </w:r>
          </w:p>
          <w:p w:rsidR="003F3AE8" w:rsidRDefault="003F3AE8" w:rsidP="00D85272">
            <w:pPr>
              <w:tabs>
                <w:tab w:val="left" w:pos="7088"/>
              </w:tabs>
              <w:jc w:val="center"/>
              <w:rPr>
                <w:b/>
                <w:bCs/>
                <w:sz w:val="12"/>
              </w:rPr>
            </w:pPr>
            <w:r w:rsidRPr="00524E94">
              <w:rPr>
                <w:b/>
                <w:bCs/>
                <w:sz w:val="12"/>
              </w:rPr>
              <w:t>________________</w:t>
            </w:r>
          </w:p>
          <w:p w:rsidR="003F3AE8" w:rsidRPr="00524E94" w:rsidRDefault="003F3AE8" w:rsidP="00D85272">
            <w:pPr>
              <w:tabs>
                <w:tab w:val="left" w:pos="7088"/>
              </w:tabs>
              <w:jc w:val="center"/>
              <w:rPr>
                <w:b/>
                <w:bCs/>
                <w:sz w:val="20"/>
                <w:szCs w:val="20"/>
              </w:rPr>
            </w:pPr>
          </w:p>
          <w:p w:rsidR="003F3AE8" w:rsidRPr="00BE39DE" w:rsidRDefault="003F3AE8" w:rsidP="00D85272">
            <w:pPr>
              <w:pStyle w:val="Heading1"/>
              <w:rPr>
                <w:rFonts w:ascii="Times New Roman" w:hAnsi="Times New Roman"/>
                <w:b w:val="0"/>
                <w:bCs/>
                <w:sz w:val="26"/>
                <w:szCs w:val="28"/>
              </w:rPr>
            </w:pPr>
            <w:r w:rsidRPr="00BE39DE">
              <w:rPr>
                <w:rFonts w:ascii="Times New Roman" w:hAnsi="Times New Roman"/>
                <w:b w:val="0"/>
                <w:sz w:val="26"/>
                <w:szCs w:val="28"/>
              </w:rPr>
              <w:t xml:space="preserve">Số: </w:t>
            </w:r>
            <w:r w:rsidRPr="00BE39DE">
              <w:rPr>
                <w:rFonts w:ascii="Times New Roman" w:hAnsi="Times New Roman"/>
                <w:b w:val="0"/>
                <w:bCs/>
                <w:sz w:val="26"/>
                <w:szCs w:val="28"/>
              </w:rPr>
              <w:t>88</w:t>
            </w:r>
            <w:r w:rsidRPr="00BE39DE">
              <w:rPr>
                <w:rFonts w:ascii="Times New Roman" w:hAnsi="Times New Roman"/>
                <w:b w:val="0"/>
                <w:sz w:val="26"/>
                <w:szCs w:val="28"/>
              </w:rPr>
              <w:t>/2016/NQ-HĐND</w:t>
            </w:r>
          </w:p>
        </w:tc>
        <w:tc>
          <w:tcPr>
            <w:tcW w:w="5792" w:type="dxa"/>
          </w:tcPr>
          <w:p w:rsidR="003F3AE8" w:rsidRPr="007476EB" w:rsidRDefault="003F3AE8" w:rsidP="00D85272">
            <w:pPr>
              <w:tabs>
                <w:tab w:val="left" w:pos="7088"/>
              </w:tabs>
              <w:jc w:val="center"/>
              <w:rPr>
                <w:b/>
                <w:bCs/>
              </w:rPr>
            </w:pPr>
            <w:r w:rsidRPr="007476EB">
              <w:rPr>
                <w:b/>
                <w:bCs/>
                <w:sz w:val="26"/>
              </w:rPr>
              <w:t>CỘNG HOÀ XÃ HỘI CHỦ NGHĨA VIỆT NAM</w:t>
            </w:r>
          </w:p>
          <w:p w:rsidR="003F3AE8" w:rsidRPr="007476EB" w:rsidRDefault="003F3AE8" w:rsidP="00D85272">
            <w:pPr>
              <w:tabs>
                <w:tab w:val="left" w:pos="7088"/>
              </w:tabs>
              <w:jc w:val="center"/>
              <w:rPr>
                <w:b/>
                <w:bCs/>
              </w:rPr>
            </w:pPr>
            <w:r w:rsidRPr="007476EB">
              <w:rPr>
                <w:b/>
                <w:bCs/>
              </w:rPr>
              <w:t>Độc lập - Tự do - Hạnh phúc</w:t>
            </w:r>
          </w:p>
          <w:p w:rsidR="003F3AE8" w:rsidRDefault="003F3AE8" w:rsidP="00D85272">
            <w:pPr>
              <w:pStyle w:val="Heading1"/>
              <w:rPr>
                <w:rFonts w:ascii="Times New Roman" w:hAnsi="Times New Roman"/>
                <w:sz w:val="12"/>
                <w:szCs w:val="28"/>
              </w:rPr>
            </w:pPr>
            <w:r>
              <w:rPr>
                <w:rFonts w:ascii="Times New Roman" w:hAnsi="Times New Roman"/>
                <w:sz w:val="12"/>
                <w:szCs w:val="28"/>
              </w:rPr>
              <w:t>___________________________________________________________</w:t>
            </w:r>
          </w:p>
          <w:p w:rsidR="003F3AE8" w:rsidRPr="00524E94" w:rsidRDefault="003F3AE8" w:rsidP="00D85272">
            <w:pPr>
              <w:rPr>
                <w:sz w:val="20"/>
                <w:szCs w:val="20"/>
              </w:rPr>
            </w:pPr>
          </w:p>
          <w:p w:rsidR="003F3AE8" w:rsidRPr="00BE39DE" w:rsidRDefault="003F3AE8" w:rsidP="00D85272">
            <w:pPr>
              <w:pStyle w:val="Heading1"/>
              <w:rPr>
                <w:rFonts w:ascii="Times New Roman" w:hAnsi="Times New Roman"/>
                <w:b w:val="0"/>
                <w:bCs/>
                <w:i/>
                <w:szCs w:val="28"/>
              </w:rPr>
            </w:pPr>
            <w:r w:rsidRPr="00BE39DE">
              <w:rPr>
                <w:rFonts w:ascii="Times New Roman" w:hAnsi="Times New Roman"/>
                <w:b w:val="0"/>
                <w:i/>
                <w:szCs w:val="28"/>
              </w:rPr>
              <w:t>Hưng Yên, ngày 20 tháng 12 năm 2016</w:t>
            </w:r>
          </w:p>
        </w:tc>
      </w:tr>
    </w:tbl>
    <w:p w:rsidR="003F3AE8" w:rsidRPr="00BA2116" w:rsidRDefault="003F3AE8" w:rsidP="003F3AE8">
      <w:pPr>
        <w:jc w:val="center"/>
        <w:rPr>
          <w:bCs/>
        </w:rPr>
      </w:pPr>
    </w:p>
    <w:p w:rsidR="003F3AE8" w:rsidRPr="007476EB" w:rsidRDefault="003F3AE8" w:rsidP="003F3AE8">
      <w:pPr>
        <w:jc w:val="center"/>
        <w:rPr>
          <w:b/>
          <w:bCs/>
        </w:rPr>
      </w:pPr>
      <w:r w:rsidRPr="007476EB">
        <w:rPr>
          <w:b/>
          <w:bCs/>
        </w:rPr>
        <w:t>NGHỊ QUYẾT</w:t>
      </w:r>
    </w:p>
    <w:p w:rsidR="003F3AE8" w:rsidRDefault="003F3AE8" w:rsidP="003F3AE8">
      <w:pPr>
        <w:jc w:val="center"/>
        <w:rPr>
          <w:b/>
          <w:bCs/>
        </w:rPr>
      </w:pPr>
      <w:r>
        <w:rPr>
          <w:b/>
          <w:bCs/>
        </w:rPr>
        <w:t>Về việc thông qua Đề án c</w:t>
      </w:r>
      <w:r w:rsidRPr="007476EB">
        <w:rPr>
          <w:b/>
          <w:bCs/>
        </w:rPr>
        <w:t xml:space="preserve">ông nhận </w:t>
      </w:r>
      <w:r>
        <w:rPr>
          <w:b/>
          <w:bCs/>
        </w:rPr>
        <w:t xml:space="preserve">khu vực </w:t>
      </w:r>
      <w:r w:rsidRPr="007476EB">
        <w:rPr>
          <w:b/>
          <w:bCs/>
        </w:rPr>
        <w:t>Mỹ Hào</w:t>
      </w:r>
    </w:p>
    <w:p w:rsidR="003F3AE8" w:rsidRPr="007476EB" w:rsidRDefault="003F3AE8" w:rsidP="003F3AE8">
      <w:pPr>
        <w:jc w:val="center"/>
        <w:rPr>
          <w:b/>
          <w:bCs/>
        </w:rPr>
      </w:pPr>
      <w:r>
        <w:rPr>
          <w:b/>
          <w:bCs/>
        </w:rPr>
        <w:t xml:space="preserve">đạt tiêu chuẩn </w:t>
      </w:r>
      <w:r w:rsidRPr="007476EB">
        <w:rPr>
          <w:b/>
          <w:bCs/>
        </w:rPr>
        <w:t>đô thị loại IV</w:t>
      </w:r>
    </w:p>
    <w:p w:rsidR="003F3AE8" w:rsidRDefault="003F3AE8" w:rsidP="003F3AE8">
      <w:pPr>
        <w:spacing w:before="100" w:line="300" w:lineRule="atLeast"/>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41275</wp:posOffset>
                </wp:positionV>
                <wp:extent cx="765810" cy="0"/>
                <wp:effectExtent l="5080"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pt,3.25pt" to="25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C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adZ+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AiGLyLcAAAABwEAAA8AAABkcnMvZG93bnJldi54bWxMj8FOwzAQRO9I&#10;/IO1SFwq6jRVKxLiVAjIjQsFxHUbL0lEvE5jtw18PQsXOI5mNPOm2EyuV0caQ+fZwGKegCKuve24&#10;MfDyXF1dgwoR2WLvmQx8UoBNeX5WYG79iZ/ouI2NkhIOORpoYxxyrUPdksMw9wOxeO9+dBhFjo22&#10;I56k3PU6TZK1dtixLLQ40F1L9cf24AyE6pX21desniVvy8ZTur9/fEBjLi+m2xtQkab4F4YffEGH&#10;Uph2/sA2qN7AMstSiRpYr0CJv1pkcmX3q3VZ6P/85TcAAAD//wMAUEsBAi0AFAAGAAgAAAAhALaD&#10;OJL+AAAA4QEAABMAAAAAAAAAAAAAAAAAAAAAAFtDb250ZW50X1R5cGVzXS54bWxQSwECLQAUAAYA&#10;CAAAACEAOP0h/9YAAACUAQAACwAAAAAAAAAAAAAAAAAvAQAAX3JlbHMvLnJlbHNQSwECLQAUAAYA&#10;CAAAACEAiTXAlBwCAAA1BAAADgAAAAAAAAAAAAAAAAAuAgAAZHJzL2Uyb0RvYy54bWxQSwECLQAU&#10;AAYACAAAACEACIYvItwAAAAHAQAADwAAAAAAAAAAAAAAAAB2BAAAZHJzL2Rvd25yZXYueG1sUEsF&#10;BgAAAAAEAAQA8wAAAH8FAAAAAA==&#10;"/>
            </w:pict>
          </mc:Fallback>
        </mc:AlternateContent>
      </w:r>
    </w:p>
    <w:p w:rsidR="003F3AE8" w:rsidRDefault="003F3AE8" w:rsidP="003F3AE8">
      <w:pPr>
        <w:jc w:val="center"/>
        <w:rPr>
          <w:b/>
          <w:bCs/>
        </w:rPr>
      </w:pPr>
      <w:r w:rsidRPr="007476EB">
        <w:rPr>
          <w:b/>
          <w:bCs/>
        </w:rPr>
        <w:t>HỘI ĐỒNG NHÂN DÂN TỈNH HƯNG YÊN</w:t>
      </w:r>
    </w:p>
    <w:p w:rsidR="003F3AE8" w:rsidRPr="006D32E9" w:rsidRDefault="003F3AE8" w:rsidP="003F3AE8">
      <w:pPr>
        <w:jc w:val="center"/>
        <w:rPr>
          <w:b/>
          <w:bCs/>
        </w:rPr>
      </w:pPr>
      <w:r w:rsidRPr="00236DD1">
        <w:rPr>
          <w:b/>
          <w:bCs/>
        </w:rPr>
        <w:t>KHOÁ XVI</w:t>
      </w:r>
      <w:r>
        <w:rPr>
          <w:b/>
          <w:bCs/>
        </w:rPr>
        <w:t>,</w:t>
      </w:r>
      <w:r w:rsidRPr="00236DD1">
        <w:rPr>
          <w:b/>
          <w:bCs/>
        </w:rPr>
        <w:t xml:space="preserve"> KỲ HỌP THỨ BA</w:t>
      </w:r>
    </w:p>
    <w:p w:rsidR="003F3AE8" w:rsidRPr="0084764F" w:rsidRDefault="003F3AE8" w:rsidP="00ED7CD6">
      <w:pPr>
        <w:pStyle w:val="BodyText"/>
        <w:spacing w:before="80" w:after="80" w:line="240" w:lineRule="auto"/>
        <w:ind w:firstLine="720"/>
        <w:rPr>
          <w:rFonts w:ascii="Times New Roman" w:hAnsi="Times New Roman"/>
          <w:i/>
        </w:rPr>
      </w:pPr>
      <w:r w:rsidRPr="0084764F">
        <w:rPr>
          <w:rFonts w:ascii="Times New Roman" w:hAnsi="Times New Roman"/>
          <w:i/>
        </w:rPr>
        <w:t>Căn cứ Luật Tổ chức chính quyền địa phương năm 2015;</w:t>
      </w:r>
    </w:p>
    <w:p w:rsidR="003F3AE8" w:rsidRPr="0084764F" w:rsidRDefault="003F3AE8" w:rsidP="00ED7CD6">
      <w:pPr>
        <w:spacing w:before="80" w:after="80"/>
        <w:ind w:firstLine="720"/>
        <w:jc w:val="both"/>
        <w:rPr>
          <w:i/>
        </w:rPr>
      </w:pPr>
      <w:r w:rsidRPr="0084764F">
        <w:rPr>
          <w:i/>
          <w:spacing w:val="-2"/>
        </w:rPr>
        <w:t>Căn cứ</w:t>
      </w:r>
      <w:r w:rsidRPr="0084764F">
        <w:rPr>
          <w:i/>
        </w:rPr>
        <w:t xml:space="preserve"> Luật Xây dựng năm 2014;</w:t>
      </w:r>
    </w:p>
    <w:p w:rsidR="003F3AE8" w:rsidRPr="0084764F" w:rsidRDefault="003F3AE8" w:rsidP="00ED7CD6">
      <w:pPr>
        <w:spacing w:before="80" w:after="80"/>
        <w:ind w:firstLine="720"/>
        <w:jc w:val="both"/>
        <w:rPr>
          <w:i/>
        </w:rPr>
      </w:pPr>
      <w:r w:rsidRPr="0084764F">
        <w:rPr>
          <w:i/>
          <w:spacing w:val="-2"/>
        </w:rPr>
        <w:t>Căn cứ</w:t>
      </w:r>
      <w:r w:rsidRPr="0084764F">
        <w:rPr>
          <w:i/>
        </w:rPr>
        <w:t xml:space="preserve"> Luật Quy hoạch đô thị năm 2009;</w:t>
      </w:r>
    </w:p>
    <w:p w:rsidR="003F3AE8" w:rsidRPr="0084764F" w:rsidRDefault="003F3AE8" w:rsidP="00ED7CD6">
      <w:pPr>
        <w:spacing w:before="80" w:after="80"/>
        <w:ind w:firstLine="720"/>
        <w:jc w:val="both"/>
        <w:rPr>
          <w:i/>
        </w:rPr>
      </w:pPr>
      <w:r w:rsidRPr="0084764F">
        <w:rPr>
          <w:i/>
        </w:rPr>
        <w:t>Căn cứ các Nghị quyết của Uỷ ban Thường vụ Quốc hội: Số 1210/2016/UBTVQH13 ngày 25/5/2016 về phân loại đô thị; số 1211/2016/UBTVQH13 ngày 25/5/2016 quy định về tiêu chuẩn đơn vị hành chính và phân loại đơn vị hành chính;</w:t>
      </w:r>
    </w:p>
    <w:p w:rsidR="003F3AE8" w:rsidRPr="0084764F" w:rsidRDefault="003F3AE8" w:rsidP="00ED7CD6">
      <w:pPr>
        <w:spacing w:before="80" w:after="80"/>
        <w:ind w:firstLine="720"/>
        <w:jc w:val="both"/>
        <w:rPr>
          <w:i/>
        </w:rPr>
      </w:pPr>
      <w:r w:rsidRPr="0084764F">
        <w:rPr>
          <w:i/>
        </w:rPr>
        <w:t>Căn cứ Nghị định 11/2013/NĐ-CP ngày 14/01/2013 của Chính phủ về quản lý đầu tư phát triển đô thị;</w:t>
      </w:r>
    </w:p>
    <w:p w:rsidR="003F3AE8" w:rsidRPr="0084764F" w:rsidRDefault="003F3AE8" w:rsidP="00ED7CD6">
      <w:pPr>
        <w:pStyle w:val="BodyText"/>
        <w:spacing w:before="80" w:after="80" w:line="240" w:lineRule="auto"/>
        <w:ind w:firstLine="720"/>
        <w:rPr>
          <w:rFonts w:ascii="Times New Roman" w:hAnsi="Times New Roman"/>
          <w:i/>
          <w:spacing w:val="-10"/>
        </w:rPr>
      </w:pPr>
      <w:r w:rsidRPr="0084764F">
        <w:rPr>
          <w:rFonts w:ascii="Times New Roman" w:hAnsi="Times New Roman"/>
          <w:i/>
          <w:spacing w:val="-10"/>
        </w:rPr>
        <w:t>Căn cứ Quyết định số 2111/QĐ-TTg ngày 28/11/2011 của Thủ tướng Chính phủ về việc phê duyệt Quy hoạch tổng thể kinh tế - xã hội tỉnh Hưng Yên đến năm 2020;</w:t>
      </w:r>
    </w:p>
    <w:p w:rsidR="003F3AE8" w:rsidRPr="0084764F" w:rsidRDefault="003F3AE8" w:rsidP="00ED7CD6">
      <w:pPr>
        <w:widowControl w:val="0"/>
        <w:spacing w:before="80" w:after="80"/>
        <w:ind w:firstLine="720"/>
        <w:jc w:val="both"/>
        <w:rPr>
          <w:i/>
          <w:lang w:val="nl-NL"/>
        </w:rPr>
      </w:pPr>
      <w:r w:rsidRPr="0084764F">
        <w:rPr>
          <w:i/>
          <w:lang w:val="nl-NL"/>
        </w:rPr>
        <w:t>Quyết định số 1588/QĐ-BXD ngày 30/12/2014 của Bộ Xây dựng về việc công nhận thị trấn Bần Yên Nhân mở rộng (đô thị Mỹ Hào), huyện Mỹ Hào đạt tiêu chuẩn đô thị loại IV;</w:t>
      </w:r>
    </w:p>
    <w:p w:rsidR="003F3AE8" w:rsidRPr="0084764F" w:rsidRDefault="003F3AE8" w:rsidP="00ED7CD6">
      <w:pPr>
        <w:pStyle w:val="BodyText"/>
        <w:spacing w:before="80" w:after="80" w:line="240" w:lineRule="auto"/>
        <w:ind w:firstLine="720"/>
        <w:rPr>
          <w:rFonts w:ascii="Times New Roman" w:hAnsi="Times New Roman"/>
          <w:i/>
          <w:lang w:val="nl-NL"/>
        </w:rPr>
      </w:pPr>
      <w:r w:rsidRPr="0084764F">
        <w:rPr>
          <w:rFonts w:ascii="Times New Roman" w:hAnsi="Times New Roman"/>
          <w:i/>
          <w:lang w:val="nl-NL"/>
        </w:rPr>
        <w:t>C</w:t>
      </w:r>
      <w:r w:rsidRPr="0084764F">
        <w:rPr>
          <w:rFonts w:ascii="Times New Roman" w:hAnsi="Times New Roman" w:hint="eastAsia"/>
          <w:i/>
          <w:lang w:val="nl-NL"/>
        </w:rPr>
        <w:t>ă</w:t>
      </w:r>
      <w:r w:rsidRPr="0084764F">
        <w:rPr>
          <w:rFonts w:ascii="Times New Roman" w:hAnsi="Times New Roman"/>
          <w:i/>
          <w:lang w:val="nl-NL"/>
        </w:rPr>
        <w:t>n cứ Nghị quyết số 09/2013/NQ-H</w:t>
      </w:r>
      <w:r w:rsidRPr="0084764F">
        <w:rPr>
          <w:rFonts w:ascii="Times New Roman" w:hAnsi="Times New Roman" w:hint="eastAsia"/>
          <w:i/>
          <w:lang w:val="nl-NL"/>
        </w:rPr>
        <w:t>Đ</w:t>
      </w:r>
      <w:r w:rsidRPr="0084764F">
        <w:rPr>
          <w:rFonts w:ascii="Times New Roman" w:hAnsi="Times New Roman"/>
          <w:i/>
          <w:lang w:val="nl-NL"/>
        </w:rPr>
        <w:t>ND ngày 31/7/2013 của H</w:t>
      </w:r>
      <w:r w:rsidRPr="0084764F">
        <w:rPr>
          <w:rFonts w:ascii="Times New Roman" w:hAnsi="Times New Roman" w:hint="eastAsia"/>
          <w:i/>
          <w:lang w:val="nl-NL"/>
        </w:rPr>
        <w:t>Đ</w:t>
      </w:r>
      <w:r w:rsidRPr="0084764F">
        <w:rPr>
          <w:rFonts w:ascii="Times New Roman" w:hAnsi="Times New Roman"/>
          <w:i/>
          <w:lang w:val="nl-NL"/>
        </w:rPr>
        <w:t>ND tỉnh về Ch</w:t>
      </w:r>
      <w:r w:rsidRPr="0084764F">
        <w:rPr>
          <w:rFonts w:ascii="Times New Roman" w:hAnsi="Times New Roman" w:hint="eastAsia"/>
          <w:i/>
          <w:lang w:val="nl-NL"/>
        </w:rPr>
        <w:t>ươ</w:t>
      </w:r>
      <w:r w:rsidRPr="0084764F">
        <w:rPr>
          <w:rFonts w:ascii="Times New Roman" w:hAnsi="Times New Roman"/>
          <w:i/>
          <w:lang w:val="nl-NL"/>
        </w:rPr>
        <w:t xml:space="preserve">ng trình phát triển </w:t>
      </w:r>
      <w:r w:rsidRPr="0084764F">
        <w:rPr>
          <w:rFonts w:ascii="Times New Roman" w:hAnsi="Times New Roman" w:hint="eastAsia"/>
          <w:i/>
          <w:lang w:val="nl-NL"/>
        </w:rPr>
        <w:t>đ</w:t>
      </w:r>
      <w:r w:rsidRPr="0084764F">
        <w:rPr>
          <w:rFonts w:ascii="Times New Roman" w:hAnsi="Times New Roman"/>
          <w:i/>
          <w:lang w:val="nl-NL"/>
        </w:rPr>
        <w:t xml:space="preserve">ô thị Mỹ Hào </w:t>
      </w:r>
      <w:r w:rsidRPr="0084764F">
        <w:rPr>
          <w:rFonts w:ascii="Times New Roman" w:hAnsi="Times New Roman" w:hint="eastAsia"/>
          <w:i/>
          <w:lang w:val="nl-NL"/>
        </w:rPr>
        <w:t>đ</w:t>
      </w:r>
      <w:r w:rsidRPr="0084764F">
        <w:rPr>
          <w:rFonts w:ascii="Times New Roman" w:hAnsi="Times New Roman"/>
          <w:i/>
          <w:lang w:val="nl-NL"/>
        </w:rPr>
        <w:t>ến n</w:t>
      </w:r>
      <w:r w:rsidRPr="0084764F">
        <w:rPr>
          <w:rFonts w:ascii="Times New Roman" w:hAnsi="Times New Roman" w:hint="eastAsia"/>
          <w:i/>
          <w:lang w:val="nl-NL"/>
        </w:rPr>
        <w:t>ă</w:t>
      </w:r>
      <w:r w:rsidRPr="0084764F">
        <w:rPr>
          <w:rFonts w:ascii="Times New Roman" w:hAnsi="Times New Roman"/>
          <w:i/>
          <w:lang w:val="nl-NL"/>
        </w:rPr>
        <w:t>m 2020;</w:t>
      </w:r>
    </w:p>
    <w:p w:rsidR="003F3AE8" w:rsidRPr="0084764F" w:rsidRDefault="003F3AE8" w:rsidP="00ED7CD6">
      <w:pPr>
        <w:pStyle w:val="BodyText"/>
        <w:spacing w:before="80" w:after="80" w:line="240" w:lineRule="auto"/>
        <w:ind w:firstLine="720"/>
        <w:rPr>
          <w:rFonts w:ascii="Times New Roman" w:hAnsi="Times New Roman"/>
          <w:i/>
          <w:lang w:val="nl-NL"/>
        </w:rPr>
      </w:pPr>
      <w:r w:rsidRPr="0084764F">
        <w:rPr>
          <w:rFonts w:ascii="Times New Roman" w:hAnsi="Times New Roman"/>
          <w:i/>
          <w:lang w:val="nl-NL"/>
        </w:rPr>
        <w:t>Sau khi xem xét Tờ trình số 139/TTr-UBND ngày 05/12/2016 của UBND tỉnh và Đề án kèm theo của Uỷ ban nhân dân huyện Mỹ Hào; báo cáo thẩm tra của Ban Pháp chế và ý kiến của các vị đại biểu Hội đồng nhân dân tỉnh</w:t>
      </w:r>
      <w:r>
        <w:rPr>
          <w:rFonts w:ascii="Times New Roman" w:hAnsi="Times New Roman"/>
          <w:i/>
          <w:lang w:val="nl-NL"/>
        </w:rPr>
        <w:t>.</w:t>
      </w:r>
    </w:p>
    <w:p w:rsidR="003F3AE8" w:rsidRPr="007476EB" w:rsidRDefault="003F3AE8" w:rsidP="00ED7CD6">
      <w:pPr>
        <w:spacing w:before="80" w:after="80"/>
        <w:jc w:val="center"/>
        <w:rPr>
          <w:b/>
          <w:bCs/>
        </w:rPr>
      </w:pPr>
      <w:r w:rsidRPr="007476EB">
        <w:rPr>
          <w:b/>
          <w:bCs/>
        </w:rPr>
        <w:t>QUYẾT NGHỊ:</w:t>
      </w:r>
    </w:p>
    <w:p w:rsidR="003F3AE8" w:rsidRPr="00BA2116" w:rsidRDefault="003F3AE8" w:rsidP="00ED7CD6">
      <w:pPr>
        <w:spacing w:before="80" w:after="80"/>
        <w:ind w:firstLine="720"/>
        <w:jc w:val="both"/>
      </w:pPr>
      <w:r w:rsidRPr="009B06EA">
        <w:rPr>
          <w:b/>
          <w:bCs/>
        </w:rPr>
        <w:t xml:space="preserve">Điều </w:t>
      </w:r>
      <w:r>
        <w:rPr>
          <w:b/>
          <w:bCs/>
        </w:rPr>
        <w:t>1</w:t>
      </w:r>
      <w:r w:rsidRPr="009B06EA">
        <w:rPr>
          <w:b/>
          <w:bCs/>
        </w:rPr>
        <w:t xml:space="preserve">. </w:t>
      </w:r>
      <w:r w:rsidRPr="00BA2116">
        <w:t xml:space="preserve">Nhất trí thông qua Đề án </w:t>
      </w:r>
      <w:r w:rsidRPr="00BA2116">
        <w:rPr>
          <w:bCs/>
        </w:rPr>
        <w:t>công nhận khu vực huyện Mỹ Hào đạt tiêu chuẩn đô thị loại IV</w:t>
      </w:r>
      <w:r w:rsidRPr="00BA2116">
        <w:t xml:space="preserve"> với các tiêu chuẩn đạt được như sau:</w:t>
      </w:r>
    </w:p>
    <w:p w:rsidR="003F3AE8" w:rsidRPr="00BA2116" w:rsidRDefault="003F3AE8" w:rsidP="00ED7CD6">
      <w:pPr>
        <w:spacing w:before="80" w:after="80"/>
        <w:ind w:firstLine="720"/>
        <w:jc w:val="both"/>
      </w:pPr>
      <w:r w:rsidRPr="00BA2116">
        <w:t xml:space="preserve">1. </w:t>
      </w:r>
      <w:r w:rsidRPr="00BA2116">
        <w:rPr>
          <w:color w:val="000000"/>
          <w:lang w:val="vi-VN" w:eastAsia="vi-VN"/>
        </w:rPr>
        <w:t>Vị trí, chức năng, vai trò, cơ cấu và trình độ phát triển kinh tế - xã hội</w:t>
      </w:r>
      <w:r w:rsidRPr="00BA2116">
        <w:t xml:space="preserve">: </w:t>
      </w:r>
      <w:r>
        <w:t xml:space="preserve">đạt </w:t>
      </w:r>
      <w:r w:rsidRPr="00BA2116">
        <w:t>18,0/20,0 điểm.</w:t>
      </w:r>
    </w:p>
    <w:p w:rsidR="003F3AE8" w:rsidRPr="00BA2116" w:rsidRDefault="003F3AE8" w:rsidP="00ED7CD6">
      <w:pPr>
        <w:spacing w:before="80" w:after="80"/>
        <w:ind w:firstLine="720"/>
        <w:jc w:val="both"/>
      </w:pPr>
      <w:r w:rsidRPr="00BA2116">
        <w:t xml:space="preserve">2. </w:t>
      </w:r>
      <w:r w:rsidRPr="00BA2116">
        <w:rPr>
          <w:color w:val="000000"/>
          <w:lang w:val="vi-VN" w:eastAsia="vi-VN"/>
        </w:rPr>
        <w:t>Quy mô dân số toàn đô thị đạt từ 50.000 người trở lên; khu vực nội thị đạt từ 20.000 người trở lên</w:t>
      </w:r>
      <w:r w:rsidRPr="00BA2116">
        <w:t xml:space="preserve">: </w:t>
      </w:r>
      <w:r>
        <w:t xml:space="preserve">đạt </w:t>
      </w:r>
      <w:r w:rsidRPr="00BA2116">
        <w:t>8,0/8,0 điểm.</w:t>
      </w:r>
    </w:p>
    <w:p w:rsidR="003F3AE8" w:rsidRPr="00BA2116" w:rsidRDefault="003F3AE8" w:rsidP="00ED7CD6">
      <w:pPr>
        <w:spacing w:before="80" w:after="80"/>
        <w:ind w:firstLine="720"/>
        <w:jc w:val="both"/>
      </w:pPr>
      <w:r w:rsidRPr="00BA2116">
        <w:t xml:space="preserve">3. </w:t>
      </w:r>
      <w:r w:rsidRPr="00BA2116">
        <w:rPr>
          <w:color w:val="000000"/>
          <w:lang w:val="vi-VN" w:eastAsia="vi-VN"/>
        </w:rPr>
        <w:t>Mật độ dân số toàn đô thị đạt từ 1.200 người/km</w:t>
      </w:r>
      <w:r w:rsidRPr="00BA2116">
        <w:rPr>
          <w:color w:val="000000"/>
          <w:vertAlign w:val="superscript"/>
          <w:lang w:val="vi-VN" w:eastAsia="vi-VN"/>
        </w:rPr>
        <w:t>2</w:t>
      </w:r>
      <w:r w:rsidRPr="00BA2116">
        <w:rPr>
          <w:color w:val="000000"/>
          <w:lang w:val="vi-VN" w:eastAsia="vi-VN"/>
        </w:rPr>
        <w:t> trở lên; khu vực nội thị tính trên diện tích đất xây dựng đô thị đạt từ 6.000 người/km</w:t>
      </w:r>
      <w:r w:rsidRPr="00BA2116">
        <w:rPr>
          <w:color w:val="000000"/>
          <w:vertAlign w:val="superscript"/>
          <w:lang w:val="vi-VN" w:eastAsia="vi-VN"/>
        </w:rPr>
        <w:t>2</w:t>
      </w:r>
      <w:r w:rsidRPr="00BA2116">
        <w:rPr>
          <w:color w:val="000000"/>
          <w:lang w:val="vi-VN" w:eastAsia="vi-VN"/>
        </w:rPr>
        <w:t> trở lên</w:t>
      </w:r>
      <w:r w:rsidRPr="00BA2116">
        <w:t xml:space="preserve">: </w:t>
      </w:r>
      <w:r>
        <w:t xml:space="preserve">đạt </w:t>
      </w:r>
      <w:r w:rsidRPr="00BA2116">
        <w:t>5,36/6,0 điểm.</w:t>
      </w:r>
    </w:p>
    <w:p w:rsidR="003F3AE8" w:rsidRPr="00BA2116" w:rsidRDefault="003F3AE8" w:rsidP="00ED7CD6">
      <w:pPr>
        <w:spacing w:before="80" w:after="80"/>
        <w:ind w:firstLine="720"/>
        <w:jc w:val="both"/>
      </w:pPr>
      <w:r w:rsidRPr="00BA2116">
        <w:lastRenderedPageBreak/>
        <w:t xml:space="preserve">4. </w:t>
      </w:r>
      <w:r w:rsidRPr="00BA2116">
        <w:rPr>
          <w:color w:val="000000"/>
          <w:lang w:val="vi-VN" w:eastAsia="vi-VN"/>
        </w:rPr>
        <w:t>Tỷ lệ lao động phi nông nghiệp toàn đô thị đạt từ 55% trở lên; khu vực nội thị đạt từ 70% trở lên</w:t>
      </w:r>
      <w:r w:rsidRPr="00BA2116">
        <w:t xml:space="preserve">: </w:t>
      </w:r>
      <w:r>
        <w:t xml:space="preserve">đạt </w:t>
      </w:r>
      <w:r w:rsidRPr="00BA2116">
        <w:t>6,0/6,0 điểm.</w:t>
      </w:r>
    </w:p>
    <w:p w:rsidR="003F3AE8" w:rsidRPr="00BA2116" w:rsidRDefault="003F3AE8" w:rsidP="00ED7CD6">
      <w:pPr>
        <w:spacing w:before="80" w:after="80"/>
        <w:ind w:firstLine="720"/>
        <w:jc w:val="both"/>
      </w:pPr>
      <w:r w:rsidRPr="00BA2116">
        <w:t xml:space="preserve">5. </w:t>
      </w:r>
      <w:r>
        <w:rPr>
          <w:bCs/>
          <w:color w:val="000000"/>
          <w:shd w:val="clear" w:color="auto" w:fill="FFFFFF"/>
        </w:rPr>
        <w:t>T</w:t>
      </w:r>
      <w:r w:rsidRPr="00BA2116">
        <w:rPr>
          <w:bCs/>
          <w:color w:val="000000"/>
          <w:shd w:val="clear" w:color="auto" w:fill="FFFFFF"/>
          <w:lang w:val="vi-VN"/>
        </w:rPr>
        <w:t>iêu chuẩn về trình độ phát triển cơ sở hạ tầng và kiến trúc, cảnh quan khu vực nội thành, nội thị</w:t>
      </w:r>
      <w:r w:rsidRPr="00BA2116">
        <w:t xml:space="preserve">: </w:t>
      </w:r>
      <w:r>
        <w:t xml:space="preserve">đạt </w:t>
      </w:r>
      <w:r w:rsidRPr="00BA2116">
        <w:t>37,22/48,0 điểm.</w:t>
      </w:r>
    </w:p>
    <w:p w:rsidR="003F3AE8" w:rsidRPr="00BA2116" w:rsidRDefault="003F3AE8" w:rsidP="00ED7CD6">
      <w:pPr>
        <w:spacing w:before="80" w:after="80"/>
        <w:ind w:firstLine="720"/>
        <w:jc w:val="both"/>
      </w:pPr>
      <w:r w:rsidRPr="00BA2116">
        <w:t xml:space="preserve">6. </w:t>
      </w:r>
      <w:r>
        <w:rPr>
          <w:bCs/>
          <w:color w:val="000000"/>
          <w:shd w:val="clear" w:color="auto" w:fill="FFFFFF"/>
        </w:rPr>
        <w:t>T</w:t>
      </w:r>
      <w:r w:rsidRPr="00BA2116">
        <w:rPr>
          <w:bCs/>
          <w:color w:val="000000"/>
          <w:shd w:val="clear" w:color="auto" w:fill="FFFFFF"/>
        </w:rPr>
        <w:t>iêu chuẩn về trình độ phát triển cơ sở</w:t>
      </w:r>
      <w:r w:rsidRPr="00BA2116">
        <w:rPr>
          <w:rStyle w:val="apple-converted-space"/>
          <w:bCs/>
          <w:color w:val="000000"/>
          <w:shd w:val="clear" w:color="auto" w:fill="FFFFFF"/>
        </w:rPr>
        <w:t> </w:t>
      </w:r>
      <w:r w:rsidRPr="00BA2116">
        <w:rPr>
          <w:bCs/>
          <w:color w:val="000000"/>
          <w:shd w:val="clear" w:color="auto" w:fill="FFFFFF"/>
        </w:rPr>
        <w:t>hạ tầng và kiến trúc, cảnh quan khu vực ngoại thành, ngoại thị</w:t>
      </w:r>
      <w:r w:rsidRPr="00BA2116">
        <w:t xml:space="preserve">: </w:t>
      </w:r>
      <w:r>
        <w:t xml:space="preserve">đạt </w:t>
      </w:r>
      <w:r w:rsidRPr="00BA2116">
        <w:t>12,0/12,0 điểm.</w:t>
      </w:r>
    </w:p>
    <w:p w:rsidR="003F3AE8" w:rsidRPr="00751ABB" w:rsidRDefault="003F3AE8" w:rsidP="00ED7CD6">
      <w:pPr>
        <w:spacing w:before="80" w:after="80"/>
        <w:jc w:val="both"/>
        <w:rPr>
          <w:bCs/>
        </w:rPr>
      </w:pPr>
      <w:r w:rsidRPr="00BA2116">
        <w:rPr>
          <w:bCs/>
          <w:spacing w:val="-6"/>
        </w:rPr>
        <w:tab/>
      </w:r>
      <w:r w:rsidRPr="00AB1B8C">
        <w:rPr>
          <w:bCs/>
          <w:spacing w:val="-8"/>
        </w:rPr>
        <w:t>Tổng số điểm đạt được 86,58/100 điểm, đảm bảo các tiêu chuẩn đô thị loại IV</w:t>
      </w:r>
      <w:r w:rsidRPr="00751ABB">
        <w:rPr>
          <w:bCs/>
        </w:rPr>
        <w:t>.</w:t>
      </w:r>
    </w:p>
    <w:p w:rsidR="003F3AE8" w:rsidRPr="00E047D8" w:rsidRDefault="003F3AE8" w:rsidP="00ED7CD6">
      <w:pPr>
        <w:spacing w:before="80" w:after="80"/>
        <w:jc w:val="both"/>
        <w:rPr>
          <w:b/>
          <w:bCs/>
          <w:spacing w:val="-6"/>
          <w:lang w:val="fr-FR"/>
        </w:rPr>
      </w:pPr>
      <w:r w:rsidRPr="00BA2116">
        <w:rPr>
          <w:b/>
          <w:bCs/>
          <w:spacing w:val="-6"/>
        </w:rPr>
        <w:tab/>
      </w:r>
      <w:r w:rsidRPr="00E047D8">
        <w:rPr>
          <w:b/>
          <w:bCs/>
          <w:spacing w:val="-6"/>
          <w:lang w:val="fr-FR"/>
        </w:rPr>
        <w:t xml:space="preserve">Điều </w:t>
      </w:r>
      <w:r>
        <w:rPr>
          <w:b/>
          <w:bCs/>
          <w:spacing w:val="-6"/>
          <w:lang w:val="fr-FR"/>
        </w:rPr>
        <w:t>2</w:t>
      </w:r>
      <w:r w:rsidRPr="00E047D8">
        <w:rPr>
          <w:b/>
          <w:bCs/>
          <w:spacing w:val="-6"/>
          <w:lang w:val="fr-FR"/>
        </w:rPr>
        <w:t xml:space="preserve">. </w:t>
      </w:r>
      <w:r w:rsidRPr="00BA2116">
        <w:rPr>
          <w:bCs/>
          <w:spacing w:val="-6"/>
          <w:lang w:val="fr-FR"/>
        </w:rPr>
        <w:t>Tổ chức thực hiện</w:t>
      </w:r>
    </w:p>
    <w:p w:rsidR="003F3AE8" w:rsidRPr="00082FAA" w:rsidRDefault="003F3AE8" w:rsidP="00ED7CD6">
      <w:pPr>
        <w:pStyle w:val="BodyText"/>
        <w:spacing w:before="80" w:after="80" w:line="240" w:lineRule="auto"/>
        <w:rPr>
          <w:rFonts w:ascii="Times New Roman" w:hAnsi="Times New Roman"/>
          <w:lang w:val="fr-FR"/>
        </w:rPr>
      </w:pPr>
      <w:r w:rsidRPr="00082FAA">
        <w:rPr>
          <w:rFonts w:ascii="Times New Roman" w:hAnsi="Times New Roman"/>
          <w:lang w:val="fr-FR"/>
        </w:rPr>
        <w:tab/>
        <w:t>1. Uỷ ban nhân dân tỉnh chỉ đạo các cơ quan chuyên môn, UBND huyện Mỹ Hào hoàn thiện hồ sơ trình Bộ Xây dựng thẩm định, phê duyệt theo quy định và triển khai thực hiện một số nội dung sau:</w:t>
      </w:r>
    </w:p>
    <w:p w:rsidR="003F3AE8" w:rsidRPr="00245F1C" w:rsidRDefault="003F3AE8" w:rsidP="00ED7CD6">
      <w:pPr>
        <w:spacing w:before="80" w:after="80"/>
        <w:ind w:firstLine="720"/>
        <w:jc w:val="both"/>
        <w:rPr>
          <w:spacing w:val="-6"/>
          <w:lang w:val="nl-NL"/>
        </w:rPr>
      </w:pPr>
      <w:r w:rsidRPr="00BA2116">
        <w:rPr>
          <w:lang w:val="nl-NL"/>
        </w:rPr>
        <w:t>- Trên cơ sở quy hoạch, kế hoạch sử dụng đất, quy hoạch chung xây dựng huyện Mỹ Hào và hiện trạng sử dụng đất gắn với xu hướng phát triển, rà soát, bổ sung, điều chỉnh quy hoạch chi tiết xây dựng khu vực nội thị bảo đảm các phường kết nối hạ tầng kinh tế</w:t>
      </w:r>
      <w:r>
        <w:rPr>
          <w:lang w:val="nl-NL"/>
        </w:rPr>
        <w:t xml:space="preserve"> </w:t>
      </w:r>
      <w:r w:rsidRPr="00BA2116">
        <w:rPr>
          <w:lang w:val="nl-NL"/>
        </w:rPr>
        <w:t>- xã hội đồng bộ và có hiệu quả thiết thực.</w:t>
      </w:r>
    </w:p>
    <w:p w:rsidR="003F3AE8" w:rsidRPr="00BA2116" w:rsidRDefault="003F3AE8" w:rsidP="00ED7CD6">
      <w:pPr>
        <w:widowControl w:val="0"/>
        <w:spacing w:before="80" w:after="80"/>
        <w:ind w:firstLine="720"/>
        <w:jc w:val="both"/>
        <w:rPr>
          <w:lang w:val="nl-NL"/>
        </w:rPr>
      </w:pPr>
      <w:r w:rsidRPr="00BA2116">
        <w:rPr>
          <w:lang w:val="nl-NL"/>
        </w:rPr>
        <w:t>- Xác định cụ thể các hạng mục công trình, dự án cần ưu tiên đầu tư và thu hút đầu tư; thực hiện ưu tiên đầu tư theo thứ tự địa bàn: Thị trấn Bần Yên Nhân, xã: Nhân Hòa, Dị Sử, Phan Đình Phùng, Phùng Chí Kiên, Bạch Sam, Minh Đức.</w:t>
      </w:r>
    </w:p>
    <w:p w:rsidR="003F3AE8" w:rsidRDefault="003F3AE8" w:rsidP="00ED7CD6">
      <w:pPr>
        <w:widowControl w:val="0"/>
        <w:spacing w:before="80" w:after="80"/>
        <w:ind w:firstLine="720"/>
        <w:jc w:val="both"/>
        <w:rPr>
          <w:lang w:val="nl-NL"/>
        </w:rPr>
      </w:pPr>
      <w:r w:rsidRPr="00BA2116">
        <w:rPr>
          <w:lang w:val="nl-NL"/>
        </w:rPr>
        <w:t xml:space="preserve">- </w:t>
      </w:r>
      <w:r w:rsidRPr="007D1F77">
        <w:rPr>
          <w:lang w:val="nl-NL"/>
        </w:rPr>
        <w:t>Không thu hút dự án sản xuất kinh doanh gây ô nhiễm môi trường vào khu vực nội thị</w:t>
      </w:r>
      <w:r w:rsidRPr="00BA2116">
        <w:rPr>
          <w:lang w:val="nl-NL"/>
        </w:rPr>
        <w:t>.</w:t>
      </w:r>
    </w:p>
    <w:p w:rsidR="003F3AE8" w:rsidRDefault="003F3AE8" w:rsidP="00ED7CD6">
      <w:pPr>
        <w:widowControl w:val="0"/>
        <w:spacing w:before="80" w:after="80"/>
        <w:ind w:firstLine="720"/>
        <w:jc w:val="both"/>
        <w:rPr>
          <w:lang w:val="nl-NL"/>
        </w:rPr>
      </w:pPr>
      <w:r>
        <w:rPr>
          <w:lang w:val="nl-NL"/>
        </w:rPr>
        <w:t>2.</w:t>
      </w:r>
      <w:r w:rsidRPr="00BA2116">
        <w:rPr>
          <w:lang w:val="nl-NL"/>
        </w:rPr>
        <w:t xml:space="preserve"> Huyện Mỹ Hào tích cực chủ động khai thác các nguồn thu, đặc biệt quan tâm đến nguồn thu từ thương mại, dịch vụ, nguồn thu từ đất (xử lý đất dôi dư, xen kẹp</w:t>
      </w:r>
      <w:r>
        <w:rPr>
          <w:lang w:val="nl-NL"/>
        </w:rPr>
        <w:t>, đấu giá quyền sử dụng đất cho nhân dân làm nhà ở</w:t>
      </w:r>
      <w:r w:rsidRPr="00BA2116">
        <w:rPr>
          <w:lang w:val="nl-NL"/>
        </w:rPr>
        <w:t>); khuyến khích đầu tư, tiếp nhận các dự án thuộc lĩnh vực dịch vụ, giáo dục</w:t>
      </w:r>
      <w:r>
        <w:rPr>
          <w:lang w:val="nl-NL"/>
        </w:rPr>
        <w:t xml:space="preserve"> </w:t>
      </w:r>
      <w:r w:rsidRPr="00BA2116">
        <w:rPr>
          <w:lang w:val="nl-NL"/>
        </w:rPr>
        <w:t>-</w:t>
      </w:r>
      <w:r>
        <w:rPr>
          <w:lang w:val="nl-NL"/>
        </w:rPr>
        <w:t xml:space="preserve"> </w:t>
      </w:r>
      <w:r w:rsidRPr="00BA2116">
        <w:rPr>
          <w:lang w:val="nl-NL"/>
        </w:rPr>
        <w:t>đào tạo,... nhằm tăng tỷ trọng GDP và chuyển dịch cơ cấu lao động nông nghiệp sang phi nông nghiệp; tháo gỡ vướng mắc, khó khăn đẩy nhanh tiến độ thực hiện các dự án nhà ở, dự án phát triển đô thị trên địa bàn nhằm sớm hình thành các khu đô thị hiện đại, hoàn thiện hệ thống công trình hạ tầng đô thị của huyện đạt điểm ở mức thấp và chưa đạt điểm.</w:t>
      </w:r>
      <w:r w:rsidRPr="00082FAA">
        <w:rPr>
          <w:lang w:val="nl-NL"/>
        </w:rPr>
        <w:t xml:space="preserve"> </w:t>
      </w:r>
    </w:p>
    <w:p w:rsidR="003F3AE8" w:rsidRDefault="003F3AE8" w:rsidP="00ED7CD6">
      <w:pPr>
        <w:widowControl w:val="0"/>
        <w:spacing w:before="80" w:after="80"/>
        <w:ind w:firstLine="720"/>
        <w:jc w:val="both"/>
        <w:rPr>
          <w:lang w:val="nl-NL"/>
        </w:rPr>
      </w:pPr>
      <w:r>
        <w:rPr>
          <w:lang w:val="nl-NL"/>
        </w:rPr>
        <w:t>3</w:t>
      </w:r>
      <w:r w:rsidRPr="00082FAA">
        <w:rPr>
          <w:lang w:val="nl-NL"/>
        </w:rPr>
        <w:t xml:space="preserve">. </w:t>
      </w:r>
      <w:r>
        <w:rPr>
          <w:lang w:val="nl-NL"/>
        </w:rPr>
        <w:t>Hội đồng nhân dân tỉnh giao Ủy ban nhân dân tỉnh triển khai thực hiện Nghị quyết này.</w:t>
      </w:r>
    </w:p>
    <w:p w:rsidR="003F3AE8" w:rsidRDefault="003F3AE8" w:rsidP="00ED7CD6">
      <w:pPr>
        <w:widowControl w:val="0"/>
        <w:spacing w:before="80" w:after="240"/>
        <w:ind w:firstLine="720"/>
        <w:jc w:val="both"/>
        <w:rPr>
          <w:lang w:val="nl-NL"/>
        </w:rPr>
      </w:pPr>
      <w:r w:rsidRPr="00082FAA">
        <w:rPr>
          <w:lang w:val="nl-NL"/>
        </w:rPr>
        <w:t xml:space="preserve">Nghị quyết này được Hội đồng nhân dân tỉnh khoá XVI, kỳ họp thứ ba thông qua ngày </w:t>
      </w:r>
      <w:r>
        <w:rPr>
          <w:lang w:val="nl-NL"/>
        </w:rPr>
        <w:t>15</w:t>
      </w:r>
      <w:r w:rsidRPr="00082FAA">
        <w:rPr>
          <w:lang w:val="nl-NL"/>
        </w:rPr>
        <w:t xml:space="preserve"> tháng 12 năm 2016.</w:t>
      </w:r>
      <w:r>
        <w:rPr>
          <w:lang w:val="nl-N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12"/>
      </w:tblGrid>
      <w:tr w:rsidR="003F3AE8" w:rsidRPr="00E047D8" w:rsidTr="00D85272">
        <w:tc>
          <w:tcPr>
            <w:tcW w:w="5508" w:type="dxa"/>
          </w:tcPr>
          <w:p w:rsidR="003F3AE8" w:rsidRPr="007476EB" w:rsidRDefault="003F3AE8" w:rsidP="00D85272">
            <w:pPr>
              <w:jc w:val="both"/>
              <w:rPr>
                <w:lang w:val="fr-FR"/>
              </w:rPr>
            </w:pPr>
          </w:p>
        </w:tc>
        <w:tc>
          <w:tcPr>
            <w:tcW w:w="3612" w:type="dxa"/>
          </w:tcPr>
          <w:p w:rsidR="003F3AE8" w:rsidRPr="00E047D8" w:rsidRDefault="003F3AE8" w:rsidP="00D85272">
            <w:pPr>
              <w:pStyle w:val="BodyText"/>
              <w:spacing w:before="100" w:line="240" w:lineRule="atLeast"/>
              <w:jc w:val="center"/>
              <w:rPr>
                <w:rFonts w:ascii="Times New Roman Bold" w:hAnsi="Times New Roman Bold"/>
                <w:b/>
                <w:bCs/>
                <w:lang w:val="fr-FR"/>
              </w:rPr>
            </w:pPr>
            <w:r w:rsidRPr="00E047D8">
              <w:rPr>
                <w:rFonts w:ascii="Times New Roman Bold" w:hAnsi="Times New Roman Bold"/>
                <w:b/>
                <w:bCs/>
                <w:lang w:val="fr-FR"/>
              </w:rPr>
              <w:t>CHỦ TỊCH</w:t>
            </w:r>
          </w:p>
          <w:p w:rsidR="003F3AE8" w:rsidRPr="00E047D8" w:rsidRDefault="003F3AE8" w:rsidP="00D85272">
            <w:pPr>
              <w:pStyle w:val="BodyText"/>
              <w:spacing w:line="240" w:lineRule="atLeast"/>
              <w:rPr>
                <w:rFonts w:ascii="Times New Roman" w:hAnsi="Times New Roman"/>
                <w:b/>
                <w:bCs/>
                <w:lang w:val="fr-FR"/>
              </w:rPr>
            </w:pPr>
          </w:p>
          <w:p w:rsidR="003F3AE8" w:rsidRDefault="003F3AE8" w:rsidP="00D85272">
            <w:pPr>
              <w:pStyle w:val="BodyText"/>
              <w:spacing w:line="240" w:lineRule="atLeast"/>
              <w:rPr>
                <w:rFonts w:ascii="Times New Roman" w:hAnsi="Times New Roman"/>
                <w:b/>
                <w:bCs/>
                <w:lang w:val="fr-FR"/>
              </w:rPr>
            </w:pPr>
          </w:p>
          <w:p w:rsidR="003F3AE8" w:rsidRPr="00E047D8" w:rsidRDefault="003F3AE8" w:rsidP="00D85272">
            <w:pPr>
              <w:pStyle w:val="BodyText"/>
              <w:spacing w:line="240" w:lineRule="atLeast"/>
              <w:rPr>
                <w:rFonts w:ascii="Times New Roman" w:hAnsi="Times New Roman"/>
                <w:b/>
                <w:bCs/>
                <w:lang w:val="fr-FR"/>
              </w:rPr>
            </w:pPr>
          </w:p>
          <w:p w:rsidR="003F3AE8" w:rsidRDefault="003F3AE8" w:rsidP="00D85272">
            <w:pPr>
              <w:pStyle w:val="BodyText"/>
              <w:spacing w:line="240" w:lineRule="atLeast"/>
              <w:jc w:val="center"/>
              <w:rPr>
                <w:rFonts w:ascii="Times New Roman" w:hAnsi="Times New Roman"/>
                <w:b/>
                <w:bCs/>
                <w:lang w:val="fr-FR"/>
              </w:rPr>
            </w:pPr>
          </w:p>
          <w:p w:rsidR="003F3AE8" w:rsidRPr="00E047D8" w:rsidRDefault="003F3AE8" w:rsidP="00D85272">
            <w:pPr>
              <w:pStyle w:val="BodyText"/>
              <w:spacing w:line="240" w:lineRule="atLeast"/>
              <w:jc w:val="center"/>
              <w:rPr>
                <w:rFonts w:ascii="Times New Roman" w:hAnsi="Times New Roman"/>
                <w:lang w:val="fr-FR"/>
              </w:rPr>
            </w:pPr>
            <w:r w:rsidRPr="00E047D8">
              <w:rPr>
                <w:rFonts w:ascii="Times New Roman" w:hAnsi="Times New Roman"/>
                <w:b/>
                <w:bCs/>
                <w:lang w:val="fr-FR"/>
              </w:rPr>
              <w:t>Đỗ Xuân Tuyên</w:t>
            </w:r>
          </w:p>
        </w:tc>
      </w:tr>
    </w:tbl>
    <w:p w:rsidR="00FC251E" w:rsidRDefault="00FC251E" w:rsidP="00ED7CD6">
      <w:bookmarkStart w:id="0" w:name="_GoBack"/>
      <w:bookmarkEnd w:id="0"/>
    </w:p>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7D" w:rsidRDefault="00DC077D" w:rsidP="00ED7CD6">
      <w:r>
        <w:separator/>
      </w:r>
    </w:p>
  </w:endnote>
  <w:endnote w:type="continuationSeparator" w:id="0">
    <w:p w:rsidR="00DC077D" w:rsidRDefault="00DC077D" w:rsidP="00E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87408"/>
      <w:docPartObj>
        <w:docPartGallery w:val="Page Numbers (Bottom of Page)"/>
        <w:docPartUnique/>
      </w:docPartObj>
    </w:sdtPr>
    <w:sdtEndPr>
      <w:rPr>
        <w:noProof/>
      </w:rPr>
    </w:sdtEndPr>
    <w:sdtContent>
      <w:p w:rsidR="00ED7CD6" w:rsidRDefault="00ED7CD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D7CD6" w:rsidRDefault="00ED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7D" w:rsidRDefault="00DC077D" w:rsidP="00ED7CD6">
      <w:r>
        <w:separator/>
      </w:r>
    </w:p>
  </w:footnote>
  <w:footnote w:type="continuationSeparator" w:id="0">
    <w:p w:rsidR="00DC077D" w:rsidRDefault="00DC077D" w:rsidP="00ED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E8"/>
    <w:rsid w:val="0006341B"/>
    <w:rsid w:val="003F3AE8"/>
    <w:rsid w:val="00503412"/>
    <w:rsid w:val="00DC077D"/>
    <w:rsid w:val="00EC14D2"/>
    <w:rsid w:val="00ED7CD6"/>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AE8"/>
    <w:rPr>
      <w:sz w:val="28"/>
      <w:szCs w:val="28"/>
    </w:rPr>
  </w:style>
  <w:style w:type="paragraph" w:styleId="Heading1">
    <w:name w:val="heading 1"/>
    <w:aliases w:val="Heading 11, Char Char Char Char Char1 Char,BVI,RepHead1,Char Char Char Char Char1 Char"/>
    <w:basedOn w:val="Normal"/>
    <w:next w:val="Normal"/>
    <w:link w:val="Heading1Char1"/>
    <w:qFormat/>
    <w:rsid w:val="003F3AE8"/>
    <w:pPr>
      <w:keepNext/>
      <w:jc w:val="center"/>
      <w:outlineLvl w:val="0"/>
    </w:pPr>
    <w:rPr>
      <w:rFonts w:ascii=".VnTimeH" w:hAnsi=".VnTime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F3AE8"/>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3F3AE8"/>
    <w:rPr>
      <w:rFonts w:ascii=".VnTimeH" w:hAnsi=".VnTimeH"/>
      <w:b/>
      <w:sz w:val="28"/>
      <w:lang w:val="en-GB"/>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3F3AE8"/>
    <w:pPr>
      <w:widowControl w:val="0"/>
      <w:spacing w:line="312" w:lineRule="auto"/>
      <w:jc w:val="both"/>
    </w:pPr>
    <w:rPr>
      <w:rFonts w:ascii=".VnTime" w:hAnsi=".VnTime"/>
      <w:szCs w:val="20"/>
    </w:rPr>
  </w:style>
  <w:style w:type="character" w:customStyle="1" w:styleId="BodyTextChar">
    <w:name w:val="Body Text Char"/>
    <w:basedOn w:val="DefaultParagraphFont"/>
    <w:rsid w:val="003F3AE8"/>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3F3AE8"/>
    <w:rPr>
      <w:rFonts w:ascii=".VnTime" w:hAnsi=".VnTime"/>
      <w:sz w:val="28"/>
    </w:rPr>
  </w:style>
  <w:style w:type="table" w:styleId="TableGrid">
    <w:name w:val="Table Grid"/>
    <w:basedOn w:val="TableNormal"/>
    <w:rsid w:val="003F3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3AE8"/>
  </w:style>
  <w:style w:type="paragraph" w:customStyle="1" w:styleId="CharChar10">
    <w:name w:val=" Char Char10"/>
    <w:basedOn w:val="Normal"/>
    <w:semiHidden/>
    <w:rsid w:val="003F3AE8"/>
    <w:pPr>
      <w:spacing w:after="160" w:line="240" w:lineRule="exact"/>
    </w:pPr>
    <w:rPr>
      <w:rFonts w:ascii="Arial" w:hAnsi="Arial"/>
      <w:sz w:val="22"/>
      <w:szCs w:val="22"/>
    </w:rPr>
  </w:style>
  <w:style w:type="paragraph" w:styleId="Header">
    <w:name w:val="header"/>
    <w:basedOn w:val="Normal"/>
    <w:link w:val="HeaderChar"/>
    <w:rsid w:val="00ED7CD6"/>
    <w:pPr>
      <w:tabs>
        <w:tab w:val="center" w:pos="4680"/>
        <w:tab w:val="right" w:pos="9360"/>
      </w:tabs>
    </w:pPr>
  </w:style>
  <w:style w:type="character" w:customStyle="1" w:styleId="HeaderChar">
    <w:name w:val="Header Char"/>
    <w:basedOn w:val="DefaultParagraphFont"/>
    <w:link w:val="Header"/>
    <w:rsid w:val="00ED7CD6"/>
    <w:rPr>
      <w:sz w:val="28"/>
      <w:szCs w:val="28"/>
    </w:rPr>
  </w:style>
  <w:style w:type="paragraph" w:styleId="Footer">
    <w:name w:val="footer"/>
    <w:basedOn w:val="Normal"/>
    <w:link w:val="FooterChar"/>
    <w:uiPriority w:val="99"/>
    <w:rsid w:val="00ED7CD6"/>
    <w:pPr>
      <w:tabs>
        <w:tab w:val="center" w:pos="4680"/>
        <w:tab w:val="right" w:pos="9360"/>
      </w:tabs>
    </w:pPr>
  </w:style>
  <w:style w:type="character" w:customStyle="1" w:styleId="FooterChar">
    <w:name w:val="Footer Char"/>
    <w:basedOn w:val="DefaultParagraphFont"/>
    <w:link w:val="Footer"/>
    <w:uiPriority w:val="99"/>
    <w:rsid w:val="00ED7CD6"/>
    <w:rPr>
      <w:sz w:val="28"/>
      <w:szCs w:val="28"/>
    </w:rPr>
  </w:style>
  <w:style w:type="paragraph" w:styleId="ListParagraph">
    <w:name w:val="List Paragraph"/>
    <w:basedOn w:val="Normal"/>
    <w:uiPriority w:val="34"/>
    <w:qFormat/>
    <w:rsid w:val="00ED7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AE8"/>
    <w:rPr>
      <w:sz w:val="28"/>
      <w:szCs w:val="28"/>
    </w:rPr>
  </w:style>
  <w:style w:type="paragraph" w:styleId="Heading1">
    <w:name w:val="heading 1"/>
    <w:aliases w:val="Heading 11, Char Char Char Char Char1 Char,BVI,RepHead1,Char Char Char Char Char1 Char"/>
    <w:basedOn w:val="Normal"/>
    <w:next w:val="Normal"/>
    <w:link w:val="Heading1Char1"/>
    <w:qFormat/>
    <w:rsid w:val="003F3AE8"/>
    <w:pPr>
      <w:keepNext/>
      <w:jc w:val="center"/>
      <w:outlineLvl w:val="0"/>
    </w:pPr>
    <w:rPr>
      <w:rFonts w:ascii=".VnTimeH" w:hAnsi=".VnTime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F3AE8"/>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3F3AE8"/>
    <w:rPr>
      <w:rFonts w:ascii=".VnTimeH" w:hAnsi=".VnTimeH"/>
      <w:b/>
      <w:sz w:val="28"/>
      <w:lang w:val="en-GB"/>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3F3AE8"/>
    <w:pPr>
      <w:widowControl w:val="0"/>
      <w:spacing w:line="312" w:lineRule="auto"/>
      <w:jc w:val="both"/>
    </w:pPr>
    <w:rPr>
      <w:rFonts w:ascii=".VnTime" w:hAnsi=".VnTime"/>
      <w:szCs w:val="20"/>
    </w:rPr>
  </w:style>
  <w:style w:type="character" w:customStyle="1" w:styleId="BodyTextChar">
    <w:name w:val="Body Text Char"/>
    <w:basedOn w:val="DefaultParagraphFont"/>
    <w:rsid w:val="003F3AE8"/>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3F3AE8"/>
    <w:rPr>
      <w:rFonts w:ascii=".VnTime" w:hAnsi=".VnTime"/>
      <w:sz w:val="28"/>
    </w:rPr>
  </w:style>
  <w:style w:type="table" w:styleId="TableGrid">
    <w:name w:val="Table Grid"/>
    <w:basedOn w:val="TableNormal"/>
    <w:rsid w:val="003F3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3AE8"/>
  </w:style>
  <w:style w:type="paragraph" w:customStyle="1" w:styleId="CharChar10">
    <w:name w:val=" Char Char10"/>
    <w:basedOn w:val="Normal"/>
    <w:semiHidden/>
    <w:rsid w:val="003F3AE8"/>
    <w:pPr>
      <w:spacing w:after="160" w:line="240" w:lineRule="exact"/>
    </w:pPr>
    <w:rPr>
      <w:rFonts w:ascii="Arial" w:hAnsi="Arial"/>
      <w:sz w:val="22"/>
      <w:szCs w:val="22"/>
    </w:rPr>
  </w:style>
  <w:style w:type="paragraph" w:styleId="Header">
    <w:name w:val="header"/>
    <w:basedOn w:val="Normal"/>
    <w:link w:val="HeaderChar"/>
    <w:rsid w:val="00ED7CD6"/>
    <w:pPr>
      <w:tabs>
        <w:tab w:val="center" w:pos="4680"/>
        <w:tab w:val="right" w:pos="9360"/>
      </w:tabs>
    </w:pPr>
  </w:style>
  <w:style w:type="character" w:customStyle="1" w:styleId="HeaderChar">
    <w:name w:val="Header Char"/>
    <w:basedOn w:val="DefaultParagraphFont"/>
    <w:link w:val="Header"/>
    <w:rsid w:val="00ED7CD6"/>
    <w:rPr>
      <w:sz w:val="28"/>
      <w:szCs w:val="28"/>
    </w:rPr>
  </w:style>
  <w:style w:type="paragraph" w:styleId="Footer">
    <w:name w:val="footer"/>
    <w:basedOn w:val="Normal"/>
    <w:link w:val="FooterChar"/>
    <w:uiPriority w:val="99"/>
    <w:rsid w:val="00ED7CD6"/>
    <w:pPr>
      <w:tabs>
        <w:tab w:val="center" w:pos="4680"/>
        <w:tab w:val="right" w:pos="9360"/>
      </w:tabs>
    </w:pPr>
  </w:style>
  <w:style w:type="character" w:customStyle="1" w:styleId="FooterChar">
    <w:name w:val="Footer Char"/>
    <w:basedOn w:val="DefaultParagraphFont"/>
    <w:link w:val="Footer"/>
    <w:uiPriority w:val="99"/>
    <w:rsid w:val="00ED7CD6"/>
    <w:rPr>
      <w:sz w:val="28"/>
      <w:szCs w:val="28"/>
    </w:rPr>
  </w:style>
  <w:style w:type="paragraph" w:styleId="ListParagraph">
    <w:name w:val="List Paragraph"/>
    <w:basedOn w:val="Normal"/>
    <w:uiPriority w:val="34"/>
    <w:qFormat/>
    <w:rsid w:val="00ED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C9286-B879-447C-8FED-3243A4C5DF9C}"/>
</file>

<file path=customXml/itemProps2.xml><?xml version="1.0" encoding="utf-8"?>
<ds:datastoreItem xmlns:ds="http://schemas.openxmlformats.org/officeDocument/2006/customXml" ds:itemID="{86B61FF9-3F37-4498-B481-68161C59332E}"/>
</file>

<file path=customXml/itemProps3.xml><?xml version="1.0" encoding="utf-8"?>
<ds:datastoreItem xmlns:ds="http://schemas.openxmlformats.org/officeDocument/2006/customXml" ds:itemID="{91BFB7A3-63D5-4153-A97E-2B0112249889}"/>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2017-01-05T04:24:00Z</dcterms:created>
  <dcterms:modified xsi:type="dcterms:W3CDTF">2017-01-05T04:26:00Z</dcterms:modified>
</cp:coreProperties>
</file>